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4A6" w:rsidRPr="00A174A6" w:rsidRDefault="00A174A6" w:rsidP="00A174A6">
      <w:pPr>
        <w:pStyle w:val="tb-na18"/>
        <w:jc w:val="center"/>
        <w:rPr>
          <w:rFonts w:ascii="Calibri" w:hAnsi="Calibri" w:cs="Helvetica"/>
          <w:b/>
          <w:color w:val="000000" w:themeColor="text1"/>
          <w:sz w:val="28"/>
          <w:szCs w:val="28"/>
        </w:rPr>
      </w:pPr>
      <w:r w:rsidRPr="00A174A6">
        <w:rPr>
          <w:rFonts w:ascii="Calibri" w:hAnsi="Calibri" w:cs="Helvetica"/>
          <w:b/>
          <w:color w:val="000000" w:themeColor="text1"/>
          <w:sz w:val="28"/>
          <w:szCs w:val="28"/>
        </w:rPr>
        <w:t>HRVATSKI SABOR</w:t>
      </w:r>
    </w:p>
    <w:p w:rsidR="00A174A6" w:rsidRPr="00A174A6" w:rsidRDefault="00A174A6" w:rsidP="00A174A6">
      <w:pPr>
        <w:pStyle w:val="broj-d"/>
        <w:jc w:val="center"/>
        <w:rPr>
          <w:rFonts w:ascii="Calibri" w:hAnsi="Calibri" w:cs="Helvetica"/>
          <w:color w:val="000000" w:themeColor="text1"/>
          <w:sz w:val="22"/>
          <w:szCs w:val="22"/>
        </w:rPr>
      </w:pPr>
      <w:r w:rsidRPr="00A174A6">
        <w:rPr>
          <w:rFonts w:ascii="Calibri" w:hAnsi="Calibri" w:cs="Helvetica"/>
          <w:color w:val="000000" w:themeColor="text1"/>
          <w:sz w:val="22"/>
          <w:szCs w:val="22"/>
        </w:rPr>
        <w:t>1842</w:t>
      </w:r>
    </w:p>
    <w:p w:rsidR="00A174A6" w:rsidRPr="00A174A6" w:rsidRDefault="00A174A6" w:rsidP="00A174A6">
      <w:pPr>
        <w:pStyle w:val="t-9-8"/>
        <w:jc w:val="center"/>
        <w:rPr>
          <w:rFonts w:ascii="Calibri" w:hAnsi="Calibri" w:cs="Helvetica"/>
          <w:color w:val="000000" w:themeColor="text1"/>
          <w:sz w:val="22"/>
          <w:szCs w:val="22"/>
        </w:rPr>
      </w:pPr>
      <w:r w:rsidRPr="00A174A6">
        <w:rPr>
          <w:rFonts w:ascii="Calibri" w:hAnsi="Calibri" w:cs="Helvetica"/>
          <w:color w:val="000000" w:themeColor="text1"/>
          <w:sz w:val="22"/>
          <w:szCs w:val="22"/>
        </w:rPr>
        <w:t>Na temelju članka 89. Ustava Republike Hrvatske, donosim</w:t>
      </w:r>
    </w:p>
    <w:p w:rsidR="00A174A6" w:rsidRPr="00A174A6" w:rsidRDefault="00A174A6" w:rsidP="00A174A6">
      <w:pPr>
        <w:pStyle w:val="tb-na16"/>
        <w:jc w:val="center"/>
        <w:rPr>
          <w:rFonts w:ascii="Calibri" w:hAnsi="Calibri" w:cs="Helvetica"/>
          <w:b/>
          <w:color w:val="000000" w:themeColor="text1"/>
          <w:sz w:val="28"/>
          <w:szCs w:val="28"/>
        </w:rPr>
      </w:pPr>
      <w:r w:rsidRPr="00A174A6">
        <w:rPr>
          <w:rFonts w:ascii="Calibri" w:hAnsi="Calibri" w:cs="Helvetica"/>
          <w:b/>
          <w:color w:val="000000" w:themeColor="text1"/>
          <w:sz w:val="28"/>
          <w:szCs w:val="28"/>
        </w:rPr>
        <w:t>ODLUKU</w:t>
      </w:r>
    </w:p>
    <w:p w:rsidR="00A174A6" w:rsidRPr="00A174A6" w:rsidRDefault="00A174A6" w:rsidP="00A174A6">
      <w:pPr>
        <w:pStyle w:val="t-12-9-fett-s"/>
        <w:jc w:val="center"/>
        <w:rPr>
          <w:rFonts w:ascii="Calibri" w:hAnsi="Calibri" w:cs="Helvetica"/>
          <w:b/>
          <w:color w:val="000000" w:themeColor="text1"/>
          <w:sz w:val="28"/>
          <w:szCs w:val="28"/>
        </w:rPr>
      </w:pPr>
      <w:r w:rsidRPr="00A174A6">
        <w:rPr>
          <w:rFonts w:ascii="Calibri" w:hAnsi="Calibri" w:cs="Helvetica"/>
          <w:b/>
          <w:color w:val="000000" w:themeColor="text1"/>
          <w:sz w:val="28"/>
          <w:szCs w:val="28"/>
        </w:rPr>
        <w:t>O PROGLAŠENJU ZAKONA O IZMJENAMA I DOPUNAMA ZAKONA O SIGURNOSTI PROMETA NA CESTAMA</w:t>
      </w:r>
    </w:p>
    <w:p w:rsidR="00A174A6" w:rsidRPr="00A174A6" w:rsidRDefault="00A174A6" w:rsidP="00A174A6">
      <w:pPr>
        <w:pStyle w:val="t-9-8"/>
        <w:rPr>
          <w:rFonts w:ascii="Calibri" w:hAnsi="Calibri" w:cs="Helvetica"/>
          <w:color w:val="000000" w:themeColor="text1"/>
          <w:sz w:val="21"/>
          <w:szCs w:val="21"/>
        </w:rPr>
      </w:pPr>
      <w:r w:rsidRPr="00A174A6">
        <w:rPr>
          <w:rFonts w:ascii="Calibri" w:hAnsi="Calibri" w:cs="Helvetica"/>
          <w:color w:val="000000" w:themeColor="text1"/>
          <w:sz w:val="21"/>
          <w:szCs w:val="21"/>
        </w:rPr>
        <w:t>Proglašavam Zakon o izmjenama i dopunama Zakona o sigurnosti prometa na cestama, koji je Hrvatski sabor donio na sjednici 15. srpnja 2014. godine.</w:t>
      </w:r>
    </w:p>
    <w:p w:rsidR="00A174A6" w:rsidRPr="00A174A6" w:rsidRDefault="00A174A6" w:rsidP="00A174A6">
      <w:pPr>
        <w:pStyle w:val="klasa2"/>
        <w:rPr>
          <w:rFonts w:ascii="Calibri" w:hAnsi="Calibri" w:cs="Helvetica"/>
          <w:color w:val="000000" w:themeColor="text1"/>
          <w:sz w:val="21"/>
          <w:szCs w:val="21"/>
        </w:rPr>
      </w:pPr>
      <w:r w:rsidRPr="00A174A6">
        <w:rPr>
          <w:rFonts w:ascii="Calibri" w:hAnsi="Calibri" w:cs="Helvetica"/>
          <w:color w:val="000000" w:themeColor="text1"/>
          <w:sz w:val="21"/>
          <w:szCs w:val="21"/>
        </w:rPr>
        <w:t>Klasa: 011-01/14-01/127</w:t>
      </w:r>
      <w:r w:rsidRPr="00A174A6">
        <w:rPr>
          <w:rFonts w:ascii="Calibri" w:hAnsi="Calibri" w:cs="Helvetica"/>
          <w:color w:val="000000" w:themeColor="text1"/>
          <w:sz w:val="21"/>
          <w:szCs w:val="21"/>
        </w:rPr>
        <w:br/>
      </w:r>
      <w:r w:rsidRPr="00A174A6">
        <w:rPr>
          <w:rFonts w:ascii="Calibri" w:hAnsi="Calibri" w:cs="Helvetica"/>
          <w:color w:val="000000" w:themeColor="text1"/>
          <w:sz w:val="21"/>
          <w:szCs w:val="21"/>
        </w:rPr>
        <w:br/>
      </w:r>
      <w:proofErr w:type="spellStart"/>
      <w:r w:rsidRPr="00A174A6">
        <w:rPr>
          <w:rFonts w:ascii="Calibri" w:hAnsi="Calibri" w:cs="Helvetica"/>
          <w:color w:val="000000" w:themeColor="text1"/>
          <w:sz w:val="21"/>
          <w:szCs w:val="21"/>
        </w:rPr>
        <w:t>Urbroj</w:t>
      </w:r>
      <w:proofErr w:type="spellEnd"/>
      <w:r w:rsidRPr="00A174A6">
        <w:rPr>
          <w:rFonts w:ascii="Calibri" w:hAnsi="Calibri" w:cs="Helvetica"/>
          <w:color w:val="000000" w:themeColor="text1"/>
          <w:sz w:val="21"/>
          <w:szCs w:val="21"/>
        </w:rPr>
        <w:t>: 71-05-03/1-14-2</w:t>
      </w:r>
      <w:r w:rsidRPr="00A174A6">
        <w:rPr>
          <w:rFonts w:ascii="Calibri" w:hAnsi="Calibri" w:cs="Helvetica"/>
          <w:color w:val="000000" w:themeColor="text1"/>
          <w:sz w:val="21"/>
          <w:szCs w:val="21"/>
        </w:rPr>
        <w:br/>
      </w:r>
      <w:r w:rsidRPr="00A174A6">
        <w:rPr>
          <w:rFonts w:ascii="Calibri" w:hAnsi="Calibri" w:cs="Helvetica"/>
          <w:color w:val="000000" w:themeColor="text1"/>
          <w:sz w:val="21"/>
          <w:szCs w:val="21"/>
        </w:rPr>
        <w:br/>
        <w:t>Zagreb, 18. srpnja 2014.</w:t>
      </w:r>
    </w:p>
    <w:p w:rsidR="00A174A6" w:rsidRDefault="00A174A6" w:rsidP="00A174A6">
      <w:pPr>
        <w:pStyle w:val="t-9-8-potpis"/>
        <w:jc w:val="center"/>
        <w:rPr>
          <w:rFonts w:ascii="Calibri" w:hAnsi="Calibri" w:cs="Helvetica"/>
          <w:color w:val="000000" w:themeColor="text1"/>
          <w:sz w:val="21"/>
          <w:szCs w:val="21"/>
        </w:rPr>
      </w:pPr>
      <w:r w:rsidRPr="00A174A6">
        <w:rPr>
          <w:rFonts w:ascii="Calibri" w:hAnsi="Calibri" w:cs="Helvetica"/>
          <w:color w:val="000000" w:themeColor="text1"/>
          <w:sz w:val="21"/>
          <w:szCs w:val="21"/>
        </w:rPr>
        <w:t>Predsjednik</w:t>
      </w:r>
      <w:r w:rsidRPr="00A174A6">
        <w:rPr>
          <w:rFonts w:ascii="Calibri" w:hAnsi="Calibri" w:cs="Helvetica"/>
          <w:color w:val="000000" w:themeColor="text1"/>
          <w:sz w:val="21"/>
          <w:szCs w:val="21"/>
        </w:rPr>
        <w:br/>
      </w:r>
      <w:r w:rsidRPr="00A174A6">
        <w:rPr>
          <w:rFonts w:ascii="Calibri" w:hAnsi="Calibri" w:cs="Helvetica"/>
          <w:color w:val="000000" w:themeColor="text1"/>
          <w:sz w:val="21"/>
          <w:szCs w:val="21"/>
        </w:rPr>
        <w:br/>
        <w:t>Republike Hrvatske</w:t>
      </w:r>
      <w:r w:rsidRPr="00A174A6">
        <w:rPr>
          <w:rFonts w:ascii="Calibri" w:hAnsi="Calibri" w:cs="Helvetica"/>
          <w:color w:val="000000" w:themeColor="text1"/>
          <w:sz w:val="21"/>
          <w:szCs w:val="21"/>
        </w:rPr>
        <w:br/>
      </w:r>
      <w:r w:rsidRPr="00A174A6">
        <w:rPr>
          <w:rFonts w:ascii="Calibri" w:hAnsi="Calibri" w:cs="Helvetica"/>
          <w:color w:val="000000" w:themeColor="text1"/>
          <w:sz w:val="21"/>
          <w:szCs w:val="21"/>
        </w:rPr>
        <w:br/>
      </w:r>
      <w:r w:rsidRPr="00A174A6">
        <w:rPr>
          <w:rStyle w:val="bold"/>
          <w:rFonts w:ascii="Calibri" w:hAnsi="Calibri" w:cs="Helvetica"/>
          <w:color w:val="000000" w:themeColor="text1"/>
          <w:sz w:val="21"/>
          <w:szCs w:val="21"/>
        </w:rPr>
        <w:t>Ivo Josipović,</w:t>
      </w:r>
      <w:r w:rsidRPr="00A174A6">
        <w:rPr>
          <w:rFonts w:ascii="Calibri" w:hAnsi="Calibri" w:cs="Helvetica"/>
          <w:color w:val="000000" w:themeColor="text1"/>
          <w:sz w:val="21"/>
          <w:szCs w:val="21"/>
        </w:rPr>
        <w:t xml:space="preserve"> v. r.</w:t>
      </w:r>
    </w:p>
    <w:p w:rsidR="00A174A6" w:rsidRPr="00A174A6" w:rsidRDefault="00A174A6" w:rsidP="00A174A6">
      <w:pPr>
        <w:pStyle w:val="t-9-8-potpis"/>
        <w:jc w:val="center"/>
        <w:rPr>
          <w:rFonts w:ascii="Calibri" w:hAnsi="Calibri" w:cs="Helvetica"/>
          <w:color w:val="000000" w:themeColor="text1"/>
          <w:sz w:val="21"/>
          <w:szCs w:val="21"/>
        </w:rPr>
      </w:pPr>
    </w:p>
    <w:p w:rsidR="00A174A6" w:rsidRPr="00A174A6" w:rsidRDefault="00A174A6" w:rsidP="00A174A6">
      <w:pPr>
        <w:pStyle w:val="tb-na16"/>
        <w:jc w:val="center"/>
        <w:rPr>
          <w:rFonts w:ascii="Calibri" w:hAnsi="Calibri" w:cs="Helvetica"/>
          <w:b/>
          <w:color w:val="000000" w:themeColor="text1"/>
          <w:sz w:val="28"/>
          <w:szCs w:val="28"/>
        </w:rPr>
      </w:pPr>
      <w:r w:rsidRPr="00A174A6">
        <w:rPr>
          <w:rFonts w:ascii="Calibri" w:hAnsi="Calibri" w:cs="Helvetica"/>
          <w:b/>
          <w:color w:val="000000" w:themeColor="text1"/>
          <w:sz w:val="28"/>
          <w:szCs w:val="28"/>
        </w:rPr>
        <w:t>ZAKON</w:t>
      </w:r>
    </w:p>
    <w:p w:rsidR="00A174A6" w:rsidRPr="00A174A6" w:rsidRDefault="00A174A6" w:rsidP="00A174A6">
      <w:pPr>
        <w:pStyle w:val="t-12-9-fett-s"/>
        <w:jc w:val="center"/>
        <w:rPr>
          <w:rFonts w:ascii="Calibri" w:hAnsi="Calibri" w:cs="Helvetica"/>
          <w:b/>
          <w:color w:val="000000" w:themeColor="text1"/>
          <w:sz w:val="28"/>
          <w:szCs w:val="28"/>
        </w:rPr>
      </w:pPr>
      <w:r w:rsidRPr="00A174A6">
        <w:rPr>
          <w:rFonts w:ascii="Calibri" w:hAnsi="Calibri" w:cs="Helvetica"/>
          <w:b/>
          <w:color w:val="000000" w:themeColor="text1"/>
          <w:sz w:val="28"/>
          <w:szCs w:val="28"/>
        </w:rPr>
        <w:t>O IZMJENAMA I DOPUNAMA ZAKONA O SIGURNOSTI PROMETA NA CESTAMA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Zakonu o sigurnosti prometa na cestama (»Narodne novine«, br. 67/08., 48/10. – Odluka Ustavnog suda Republike Hrvatske, 74/11., 80/13. i 158/13. – Odluka Ustavnog suda Republike Hrvatske) članak 1.a mijenja se i glasi:</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Ovim se Zakonom u pravni poredak Republike Hrvatske prenose sljedeće direktive Europske unije: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Vijeća 91/671/EEZ od 16. prosinca 1991. o usklađivanju zakonodavstva država članica koji se odnose na obaveznu uporabu sigurnosnih pojaseva u vozilima lakšim od 3,5 tona (SL L 373, 31. 12. 1991.),</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2000/30/EZ Europskog parlamenta i Vijeća od 6. lipnja 2000. o pregledu na cesti kojim se utvrđuje tehnička ispravnost gospodarskih vozila koja prometuju u Zajednici (SL L 203, 10. 8. 2000.),</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lastRenderedPageBreak/>
        <w:t>− Direktiva 2000/53/EZ Europskog parlamenta i Vijeća od 18. rujna 2000. o otpadnim vozilima (SL L 269, 21. 10. 2000.),</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2002/85/EZ Europskog parlamenta i Vijeća od 5. studenoga 2002. o izmjeni Direktive Vijeća 92/6/EEZ o ugradnji i uporabi uređaja za ograničavanje brzine za određene kategorije motornih vozila u Zajednici (SL L 327, 4. 12. 2002.),</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2003/20/EZ Europskog parlamenta i Vijeća od 8. travnja 2003. o izmjeni Direktive Vijeća 91/671/EEZ o usklađivanju zakonodavstva država članica koji se odnose na sigurnosnu uporabu sigurnosnih pojaseva u vozilima lakšim od 3,5 tone (SL L 115, 9. 5. 2003.),</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xml:space="preserve">− Direktiva Komisije 2003/26/EZ od 3. travnja 2003. o prilagodbi tehničkom napretku Direktive 2000/30/EZ Europskog parlamenta i Vijeća u vezi s </w:t>
      </w:r>
      <w:proofErr w:type="spellStart"/>
      <w:r w:rsidRPr="00A174A6">
        <w:rPr>
          <w:rFonts w:ascii="Calibri" w:hAnsi="Calibri" w:cs="Helvetica"/>
          <w:color w:val="000000" w:themeColor="text1"/>
          <w:sz w:val="22"/>
          <w:szCs w:val="22"/>
        </w:rPr>
        <w:t>ograničivačem</w:t>
      </w:r>
      <w:proofErr w:type="spellEnd"/>
      <w:r w:rsidRPr="00A174A6">
        <w:rPr>
          <w:rFonts w:ascii="Calibri" w:hAnsi="Calibri" w:cs="Helvetica"/>
          <w:color w:val="000000" w:themeColor="text1"/>
          <w:sz w:val="22"/>
          <w:szCs w:val="22"/>
        </w:rPr>
        <w:t xml:space="preserve"> brzine i emisija ispušnih plinova gospodarskih vozila (SL L 90, 8. 4. 2003.),</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2003/59/EZ Europskog parlamenta i Vijeća od 15. srpnja 2003. o početnim kvalifikacijama i periodičnom osposobljavanju vozača određenih cestovnih vozila za prijevoz robe i putnika, o izmjeni Uredbe Vijeća (EEZ) br. 3820/85 i Direktive Vijeća 91/439/EEZ te stavljanju izvan snage Direktive Vijeća 76/914/EEZ (SL L 226, 10. 09. 2003.),</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2006/126/EZ Europskog parlamenta i Vijeća od 20. prosinca 2006. o vozačkim dozvolama (Preinaka) (SL L 403, 30. 12. 2006.),</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2008/96/EC Europskog parlamenta i Vijeća od 19. studenog 2008. godine o sigurnosti cestovne infrastrukture (SL L 319, od 29. 11. 2008.),</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2009/40/EZ Europskog parlamenta i Vijeća od 6. svibnja 2009. o tehničkim pregledima motornih vozila i njihovih prikolica (Tekst značajan za EGP) (SL L 141, 6. 6. 2009.),</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Komisije 2009/113/EZ od 25. kolovoza 2009. o izmjeni Direktive 2006/126/EZ Europskog parlamenta i Vijeća o vozačkim dozvolama (SL L 223, 26. 8. 2009.),</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Komisije 2010/47/EU od 5. srpnja 2010. o prilagodbi tehničkom napretku Direktive 2000/30/EZ Europskog parlamenta i Vijeća od 6. lipnja 2000. o pregledima na cesti tehničke ispravnosti gospodarskih vozila koja prometuju u Zajednici (SL L 173, 8. 7. 2010.),</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Komisije 2010/48/EU od 5. srpnja 2010. o prilagodbi tehničkom napretku Direktive 2009/40/EZ Europskog parlamenta i Vijeća o tehničkim pregledima motornih vozila i njihovih prikolica (Tekst značajan za EGP) (SL 173, 8. 7. 2010.),</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Direktiva 2011/82/EU Europskog parlamenta i Vijeća od 25. listopada 2011. o olakšavanju prekogranične razmjene informacija o prometnim prekršajima vezanim uz sigurnost prometa na cestama (SL L 288, 5. 11. 2011.),</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 Provedbena Direktiva Komisije 2014/37/EU od 27. veljače 2014. o izmjeni Direktive Vijeća 91/671/EEZ u pogledu obavezne uporabe sigurnosnih pojaseva i sustava sigurnosnog vezivanja djece u vozilima (SL L 59, 28. 2. 2014.).«.</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34. stavak 1.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lastRenderedPageBreak/>
        <w:t>»(1) Sudionici u prometu dužni su postupati u skladu s propisima o prometnim pravilima, prometnim znakovima postavljenim na cesti, prometnim svjetlima te znakovima i naredbama ovlaštenih osoba.«.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3.</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161. stavku 3. riječi: »u organizmu ima droga ili lijekova koji utječu na psihofizičke sposobnosti i na sposobnosti upravljanja vozilima« zamjenjuju se riječima: »je pod utjecajem droga ili lijekova«.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4.</w:t>
      </w:r>
    </w:p>
    <w:p w:rsidR="00A174A6" w:rsidRPr="00A174A6" w:rsidRDefault="00A174A6" w:rsidP="00A174A6">
      <w:pPr>
        <w:pStyle w:val="t-9-8"/>
        <w:rPr>
          <w:rFonts w:ascii="Calibri" w:hAnsi="Calibri" w:cs="Helvetica"/>
          <w:color w:val="000000" w:themeColor="text1"/>
          <w:sz w:val="22"/>
          <w:szCs w:val="22"/>
        </w:rPr>
      </w:pPr>
      <w:r w:rsidRPr="00A174A6">
        <w:rPr>
          <w:rFonts w:ascii="Calibri" w:hAnsi="Calibri" w:cs="Helvetica"/>
          <w:color w:val="000000" w:themeColor="text1"/>
          <w:sz w:val="22"/>
          <w:szCs w:val="22"/>
        </w:rPr>
        <w:t>Članak 163.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»(1) Vozač i putnici tijekom vožnje u motornom vozilu na sjedalima na kojima su ugrađeni sigurnosni pojasevi, dužni su koristiti pojas na način koji je odredio proizvođač sigurnosnog pojasa.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(2) Iznimno od odredbe stavka 1. ovoga članka, sigurnosni pojas ne moraju koristiti osobe koje imaju uvjerenje da iz zdravstvenih razloga ne mogu koristiti pojas.</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(3) Ministar nadležan za zdravstvo propisat će postupak, uvjete i način izdavanja uvjerenja iz stavka 2. ovoga članka.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(4) Vozač motornog vozila za prijevoz osoba koje osim sjedala za vozača ima još najviše 8 sjedala i vozila za prijevoz tereta u kojima su ugrađeni sigurnosni pojasevi ne smije u takvim motornim vozilima prevoziti djecu nižu od 150 centimetara ako nisu smještena u posebnoj sigurnosnoj sjedalici/postolju koja su za vozilo pričvršćena sigurnosnim pojasom vozila ili posebnim kopčama u vozilu i suprotno načinu koji je odredio proizvođač posebne sigurnosne sjedalice.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(5) Vozač motornog vozila koje osim sjedala za vozača ima još najviše 8 sjedala i u kojem su ugrađeni sigurnosni pojasevi smije na sjedalima koja nisu prednja prevoziti djecu nižu od 150 cm, a visoku barem 135 cm, koja nisu smještena u sigurnosnoj sjedalici/postolju, ukoliko su ona pravilno vezana sigurnosnim pojasom za odrasle osobe.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(6) Vozač motornog vozila za prijevoz osoba koje osim sjedala za vozača ima još najviše 8 sjedala i vozila za prijevoz tereta u koja nisu ugrađeni sigurnosni pojasevi ne smije u takvim vozilima prevoziti djecu mlađu od tri godine, a djeca stara tri godine i više, a niža od 150 cm ne smiju se smjestiti na prednje sjedalo.</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(7) Vozač motornog vozila ne smije prevoziti dijete smješteno u sigurnosnoj sjedalici okrenutoj suprotno od smjera vožnje na putničkom sjedalu zaštićenom prednjim zračnim jastukom, ako zračni jastuk nije deaktiviran, čak i u slučajevima kada se zračni jastuk automatski isključuje.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(8) Novčanom kaznom u iznosu od 500,00 kuna kaznit će se za prekršaj vozač i druga osoba ako postupi suprotno odredbama ovoga članka.«.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5.</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181. stavku 6. riječi: »u organizmu ima alkohola, droga ili lijekova koji utječu na psihofizičke sposobnosti i na sposobnosti upravljanja vozilima« zamjenjuju se riječima: »je pod utjecajem droga ili lijekova ili u krvi ima nedozvoljenu količinu alkohola«.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6.</w:t>
      </w:r>
    </w:p>
    <w:p w:rsidR="00A174A6" w:rsidRPr="00A174A6" w:rsidRDefault="00A174A6" w:rsidP="00A174A6">
      <w:pPr>
        <w:pStyle w:val="t-9-8"/>
        <w:rPr>
          <w:rFonts w:ascii="Calibri" w:hAnsi="Calibri" w:cs="Helvetica"/>
          <w:color w:val="000000" w:themeColor="text1"/>
          <w:sz w:val="22"/>
          <w:szCs w:val="22"/>
        </w:rPr>
      </w:pPr>
      <w:r w:rsidRPr="00A174A6">
        <w:rPr>
          <w:rFonts w:ascii="Calibri" w:hAnsi="Calibri" w:cs="Helvetica"/>
          <w:color w:val="000000" w:themeColor="text1"/>
          <w:sz w:val="22"/>
          <w:szCs w:val="22"/>
        </w:rPr>
        <w:lastRenderedPageBreak/>
        <w:t>U članku 196. stavak 3.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»(3) Vozač vozila za vrijeme vožnje ne smije upotrebljavati mobitel niti druge uređaje na način koji bi umanjio mogućnost reagiranja i sigurnog upravljanja vozilom.«.</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7.</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199. stavku 1. riječi: »u organizmu ima droga ili lijekova koji utječu na psihofizičke sposobnosti i na sposobnosti upravljanja vozilima« zamjenjuju se riječima: »je pod utjecajem droga ili lijekova«.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stavku 2. riječi: »u organizmu ima droga ili lijekova koji utječu na psihofizičke sposobnosti i na sposobnosti upravljanja vozilima« zamjenjuju se riječima: »je pod utjecajem droga ili lijekova«.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Stavak 4.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»(4) Smatrat će se da vozač ima alkohola u krvi ako je njegova prisutnost utvrđena analizom krvi i urina ili analizom krvi, mjerenjem količine alkohola u litri izdahnutog zraka, liječničkim pregledom ili drugim metodama i aparatima.«.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Stavak 5. briše se.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Dosadašnji stavci 6., 7., 8., 9. postaju stavci 5., 6., 7. i 8.</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dosadašnjem stavku 10., koji postaje stavak 9., riječi: »u organizmu ima droga ili lijekova koji utječu na psihofizičke sposobnosti i na sposobnosti upravljanja vozilima« zamjenjuju se riječima: »je pod utjecajem droga ili lijekova«.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dosadašnjem stavku 11., koji postaje stavak 10., riječi: »u organizmu ima droga ili lijekova koji utječu na psihofizičke sposobnosti i na sposobnosti upravljanja vozilima« zamjenjuju se riječima: »je pod utjecajem droga ili lijekova«.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8.</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216. stavku 1. iza točke 3. umjesto točke stavlja se zarez te se dodaje točka 4. koja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»4. nastanjena u Republici Hrvatskoj te ima prebivalište, prijavljeno boravište na razdoblje od najmanje 185 dana, uobičajeno prebivalište, školuje se ili ima odobren privremeni ili stalni boravak.«.</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9.</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219. stavku 1. točka a)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»a) dozvole za kategorije C1, C, D1 i D izdaju se vozačima koji su već položili vozački ispit za upravljanje vozilima kategorije B;«.</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stavku 2. točka a)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»a) vozačke dozvole izdane za kategorije C1E, CE, D1E i DE vrijede i za kombinaciju vozila u kategoriji BE;«.</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10.</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lastRenderedPageBreak/>
        <w:t>U članku 221. stavku 2. riječi: »u organizmu ima droga ili lijekova koji utječu na psihofizičke sposobnosti i na sposobnosti upravljanja vozilima« zamjenjuju se riječima: »je pod utjecajem droga ili lijekova«, a riječi: »ili ako pokazuje znakove alkoholiziranosti ili utjecaja droga« brišu se.</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11.</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222. stavak 2.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»(2) Vozačka dozvola za upravljanje vozilima AM, A1, A2, A, B i BE kategorije izdaje se s rokom važenja od 10 godina, a najduže do 65. godine života vozača. Prilikom produljenja vozačke dozvole vozač je dužan podvrgnuti se zdravstvenom pregledu za vozača ako je obveza zdravstvenog pregleda utvrđena zdravstvenim uvjerenjem na temelju kojeg je vozačka dozvola izdana i prilikom produljenja vozačke dozvole nakon 65. godine života vozača.«.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12.</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224. stavak 2. briše se.</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13.</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224.a stavku 2. riječ: »važeću« briše se.</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14.</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229. stavak 2.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»(2) Vlasnik, odnosno osoba kojoj je vozilo povjereno ne smije dati vozilo na upravljanje osobi koja nije stekla pravo upravljanja vozilom one kategorije u koju spada to vozilo ili osobi koja je pod utjecajem droga ili lijekova ili koja u krvi ima nedozvoljenu količinu alkohola.«.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stavku 7. iza riječi: »ako« stavlja se zarez i dodaju riječi: »u roku od 15 dana,«.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15.</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231. stavku 4. riječi: »je utvrđeno da u organizmu ima droga ili lijekova koji utječu na psihofizičke sposobnosti i na sposobnosti upravljanja vozilima« zamjenjuju se riječima: »je utvrđeno da je upravljao vozilom pod utjecajem droga ili lijekova«.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stavku 6. iza riječi: »prebivališta« stavlja se zarez i dodaju riječi: »boravišta, uobičajenog prebivališta, školovanja,«.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16.</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239. stavak 1.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»(1) Pokusne pločice izdaju se za vozila koja se kreću do mjesta u kojem će biti registrirana i za obavljanje tehničkog pregleda vozila.«.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17.</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lastRenderedPageBreak/>
        <w:t>U članku 241. stavku 1. iza riječi: »inozemstvo« dodaju se riječi: »ili iznose u države Europskog gospodarskog prostora«.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18.</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250. stavci 1., 2. i 3. mijenjaju se i glase: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»(1) Vlasnik registriranog vozila može odjaviti vozilo, a uz zahtjev za odjavu mora priložiti prometnu dozvolu radi evidentiranja odjave vozila i vratiti registarske pločice, odnosno priložiti potvrdu tijela koje je registriralo vozilo izvan Republike Hrvatske kojom se potvrđuje da su registarske pločice i prometna dozvola zadržane ili poništene.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(2) Vlasnik vozila dužan je odjaviti vozilo ako ne izvrši produženje važenja prometne dozvole u roku od 15 dana od dana isteka važenja prometne dozvole.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(3) Osoba na koju je vozilo registrirano dužna je u roku od 15 dana od prodaje ili drugog načina promjene vlasništva na vozilu, odjaviti vozilo osim ako obvezu odjave vozila nije preuzeo novi vlasnik vozila.«.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Iza stavka 3. dodaje se novi stavak 4. koji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»(4) Novi vlasnik vozila iz stavka 3. ovoga članka dužan je u roku od 15 dana od stjecanja vozila registrirati vozilo na svoje ime ili ga odjaviti, a ako ga ne registrira na svoje ime ili ne odjavi, ministarstvo nadležno za unutarnje poslove će na zahtjev osobe na koju je vozilo registrirano rješenjem ukinuti registraciju vozila.«.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Dosadašnji stavci 4. i 5. postaju stavci 5. i 6.</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dosadašnjim stavcima 6. i 7., koji postaju stavci 7. i 8., riječi: »stavka 1.« zamjenjuju se riječima: »stavka 2.«.</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Dosadašnji stavci 8., 9., 10., 11. i 12. postaju stavci 9., 10., 11., 12. i 13.</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19.</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Članak 251.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»Iznimno od odredbe članka 250. stavka 1. ovoga Zakona, ministarstvo nadležno za unutarnje poslove odjavit će vozilo ako je važenje prometne dozvole odnosno kartona tehničke ispravnosti lake prikolice isteklo prije više od jedne godine, kao i u slučaju kad dobije obavijest tijela koje je registriralo vozilo izvan Republike Hrvatske.«.</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20.</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Članak 252.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»(1) Registraciju motornih i priključnih vozila obavljaju policijske uprave, odnosno policijske postaje ili stanice za tehnički pregled vozila iz članka 259. ovoga Zakona ako ispunjavaju uvjete i imaju ovlaštenje.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lastRenderedPageBreak/>
        <w:t>(2) Produženje važenja prometne dozvole obavljaju stanice za tehnički pregled vozila ili policijske uprave, odnosno policijske postaje. Prometnu dozvolu koja je ispisana u postupku produženja važenja prometne dozvole ovjerava policijska uprava, odnosno policijska postaja.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(3) Protiv rješenja stanice za tehnički pregled vozila kojim se odbija zahtjev za registraciju može se izjaviti žalba policijskoj upravi na čijem se području nalazi stanica za tehnički pregled vozila.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(4) Ovlaštenje iz stavka 1. ovoga članka izdaje ministarstvo nadležno za unutarnje poslove nakon što stručna organizacija iz članka 273. ovoga Zakona utvrdi da su ispunjeni propisani uvjeti.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(5) Pokusne pločice izdaju policijske uprave odnosno policijske postaje.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(6) Pravne i fizičke osobe obrtnici koji se bave prodajom vozila na malo mogu izdavati pokusne pločice samo za neregistrirana vozila koja prodaju, od mjesta u kojem su kupljena, odnosno preuzeta do mjesta gdje će biti registrirana odnosno do mjesta obavljanja tehničkog pregleda, ako ispunjavaju propisane uvjete i za to imaju odobrenje ministarstva nadležnog za unutarnje poslove.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(7) Prenosive pločice izdaju se na ime pravne ili fizičke osobe obrtnika koji se bavi proizvodnjom, nadogradnjom, servisiranjem, prijevozom ili prodajom vozila na malo. Izdavanje prenosivih pločica odobrava ministarstvo nadležno za unutarnje poslove, a izdaje ih policijska uprava odnosno policijska postaja prema sjedištu pravne ili fizičke osobe obrtnika.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(8) Pokusne pločice za obavljanje tehničkog pregleda i prenosive pločice mogu se koristiti samo na vozilima koja imaju ispravne uređaje za upravljanje, zaustavljanje te da su propisno označena, a pokusne pločice za vozila koja se kreću do mjesta u kojem će biti registrirana mogu se koristiti samo na vozilima koja imaju dokaz o tehničkoj ispravnosti vozila.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(9) Ako policijska uprava odnosno policijska postaja utvrdi da se pokusne pločice izdaju protivno propisima i rješenju kojim je odobreno izdavanje pokusnih pločica, ministarstvo nadležno za unutarnje poslove rješenjem će izdavatelju pokusnih pločica ukinuti odobrenje za izdavanje pokusnih pločica, odnosno odbiti zahtjev za odobrenje za izdavanje pokusnih pločica. Rok za podnošenje novog zahtjeva određuje ministarstvo nadležno za unutarnje poslove, a koji ne može biti kraći od šest mjeseci niti duži od dvije godine od dana izvršnosti rješenja.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(10) Ako policijska uprava odnosno policijska postaja utvrdi da se prenosive pločice koriste protivno propisima i rješenju kojim je odobreno izdavanje prenosivih pločica, ministarstvo nadležno za unutarnje poslove rješenjem će pravnoj ili fizičkoj osobi obrtniku iz stavka 7. ovoga članka oduzeti prenosive pločice, odnosno odbiti zahtjev za odobrenje prenosivih pločica. Ponovni zahtjev za odobrenje iz stavka 7. ovoga članka može se podnijeti nakon isteka dvije godine od dana izvršnosti rješenja.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(11) Novčanom kaznom u iznosu od 5.000,00 do 15.000,00 kuna kaznit će se za prekršaj pravna ili fizička osoba obrtnik ako izdaje ili koristi pokusne ili prenosive pločice suprotno odredbama ovoga Zakona i drugih propisa donesenih na temelju njega.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(12) Novčanom kaznom od 1.500,00 do 5.000,00 kuna kaznit će se za prekršaj iz ovoga članka i odgovorna osoba u pravnoj osobi.«.</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21.</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lastRenderedPageBreak/>
        <w:t>U članku 281. stavku 2. riječi: »gospodarski inspektori Državnog inspektorata« zamjenjuju se riječima: »tržišni inspektori Ministarstva gospodarstva«.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stavku 3. riječi: »gospodarski inspektor« zamjenjuju se riječima: »tržišni inspektor«.</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22.</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282. stavku 5. riječ: »obavezno« briše se.</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stavku 6. riječi: »jedan od načina iz stavka 1.« zamjenjuju se riječima: »jedan od načina iz stavaka 1. ili 3.«, a riječi: »u organizmu ima droga, lijekova koji utječu na psihofizičke sposobnosti i na sposobnosti upravljanja vozilima ili nedozvoljenu količinu alkohola« zamjenjuju se riječima: »je pod utjecajem droga ili lijekova ili u krvi ima nedozvoljenu količinu alkohola«.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stavku 8. riječi: »u organizmu je utvrđena prisutnost droga ili lijekova koji utječu na psihofizičke sposobnosti i na sposobnosti upravljanja vozilima« zamjenjuju se riječima: »koji je pod utjecajem droga ili lijekova«.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23.</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284. iza stavka 3. dodaje se novi stavak 4. koji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»(4) Policijska uprava, odnosno policijska postaja oduzet će vozačku dozvolu vozaču i instruktoru vožnje za kojeg se izvanrednim zdravstvenim pregledom utvrdi da je ograničeno sposoban i izdat će na njegov zahtjev novu vozačku dozvolu sukladno utvrđenom ograničenju.«.</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Dosadašnji stavak 4. postaje stavak 5.</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24.</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285. stavku 1. točka 1.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»1) koji upravlja ili pokuša upravljati vozilom ako je odgovarajućim sredstvima ili uređajima utvrđeno da u organizmu ima droga ili lijekova koji utječu na psihofizičke sposobnosti i na sposobnosti upravljanja vozilima, ili je utvrđeno da u krvi ima nedozvoljenu količinu alkohola ili ako pokazuje znakove alkoholiziranosti ili utjecaja droga ili lijekova, a odbija se podvrgnuti ispitivanju«.</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stavku 2. riječi: »prisutnost lijekova u organizmu koji utječu na psihofizičke sposobnosti i na sposobnosti upravljanja vozilima« brišu se.</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25.</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287. stavku 1. riječi: »članka 199. stavka 7.« zamjenjuju se riječima: »članka 199. stavka 6.«.</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stavku 2. riječi: »članka 199. stavka 8. i 9.« zamjenjuju se riječima: »članka 199. stavka 7.«.</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stavku 3. riječi: »članka 199. stavka 10.« zamjenjuju se riječima: »članka 199. stavaka 8. i 9.«.</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26.</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293. stavku 1. riječi: »do 1.000,00 kuna« zamjenjuju se riječima: »od 1.000,00 kuna«.</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lastRenderedPageBreak/>
        <w:t>U stavku 2. riječi: »do 2.000,00 kuna« zamjenjuju se riječima: »od 2.000,00 kuna«.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27.</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296. stavak 1. mijenja se i glasi:</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»(1) O izrečenim zaštitnim mjerama, negativnim prekršajnim bodovima, mjerama upozorenja, prometnim nesrećama i njihovim posljedicama te o vozačima vozila i vozilima ministarstvo nadležno za unutarnje poslove vodi evidenciju. Podaci o prekršajima i njihovim počiniteljima vode se na Informacijskom sustavu ministarstva nadležnog za unutarnje poslove i čuvaju se najmanje 10 godina. Podaci o prometnim nesrećama i drugim događajima u prometu na cestama vode se na Informacijskom sustavu ministarstva nadležnog za unutarnje poslove i čuvaju se najmanje 15 godina. O podacima o prometnim nesrećama i drugim događajima u prometu na cestama, na zahtjev stranke, izdaje se potvrda.«.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28.</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U članku 297. stavku 3. iza riječi: »prometnim nesrećama« dodaju se riječi: »i drugim događajima u prometu na cestama«.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29.</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Ministar nadležan za unutarnje poslove, u suglasnosti s ministrom nadležnim za poslove prometa, uskladit će Pravilnik o registraciji i označavanju vozila (»Narodne novine«, br. 151/08., 89/10., 104/10. i 83/13.) s odredbama ovoga Zakona u roku od šest mjeseci od dana stupanja na snagu ovoga Zakona.</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30.</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Postupci povodom zahtjeva za izdavanje vozačkih dozvola i zahtjeva za registraciju i označavanje motornih i priključnih vozila započeti prije stupanja na snagu ovoga Zakona dovršit će se prema odredbama Zakona o sigurnosti prometa na cestama (»Narodne novine«, br. 67/08., 48/10. – Odluka Ustavnog suda Republike Hrvatske, 74/11., 80/13. i 158/13. – Odluka Ustavnog suda Republike Hrvatske).</w:t>
      </w:r>
    </w:p>
    <w:p w:rsidR="00A174A6" w:rsidRPr="00A174A6" w:rsidRDefault="00A174A6" w:rsidP="00A174A6">
      <w:pPr>
        <w:pStyle w:val="clanak"/>
        <w:jc w:val="center"/>
        <w:rPr>
          <w:rFonts w:ascii="Calibri" w:hAnsi="Calibri" w:cs="Helvetica"/>
          <w:color w:val="000000" w:themeColor="text1"/>
          <w:sz w:val="22"/>
          <w:szCs w:val="22"/>
        </w:rPr>
      </w:pPr>
      <w:r w:rsidRPr="00A174A6">
        <w:rPr>
          <w:rFonts w:ascii="Calibri" w:hAnsi="Calibri" w:cs="Helvetica"/>
          <w:color w:val="000000" w:themeColor="text1"/>
          <w:sz w:val="22"/>
          <w:szCs w:val="22"/>
        </w:rPr>
        <w:t>Članak 31.</w:t>
      </w:r>
    </w:p>
    <w:p w:rsidR="00A174A6" w:rsidRPr="00A174A6" w:rsidRDefault="00A174A6" w:rsidP="00A174A6">
      <w:pPr>
        <w:pStyle w:val="t-9-8"/>
        <w:jc w:val="both"/>
        <w:rPr>
          <w:rFonts w:ascii="Calibri" w:hAnsi="Calibri" w:cs="Helvetica"/>
          <w:color w:val="000000" w:themeColor="text1"/>
          <w:sz w:val="22"/>
          <w:szCs w:val="22"/>
        </w:rPr>
      </w:pPr>
      <w:r w:rsidRPr="00A174A6">
        <w:rPr>
          <w:rFonts w:ascii="Calibri" w:hAnsi="Calibri" w:cs="Helvetica"/>
          <w:color w:val="000000" w:themeColor="text1"/>
          <w:sz w:val="22"/>
          <w:szCs w:val="22"/>
        </w:rPr>
        <w:t>Ovaj Zakon stupa na snagu osmoga dana od dana objave u »Narodnim novinama«.</w:t>
      </w:r>
    </w:p>
    <w:p w:rsidR="00A174A6" w:rsidRPr="00A174A6" w:rsidRDefault="00A174A6" w:rsidP="00A174A6">
      <w:pPr>
        <w:pStyle w:val="klasa2"/>
        <w:rPr>
          <w:rFonts w:ascii="Calibri" w:hAnsi="Calibri" w:cs="Helvetica"/>
          <w:color w:val="000000" w:themeColor="text1"/>
          <w:sz w:val="22"/>
          <w:szCs w:val="22"/>
        </w:rPr>
      </w:pPr>
      <w:r w:rsidRPr="00A174A6">
        <w:rPr>
          <w:rFonts w:ascii="Calibri" w:hAnsi="Calibri" w:cs="Helvetica"/>
          <w:color w:val="000000" w:themeColor="text1"/>
          <w:sz w:val="22"/>
          <w:szCs w:val="22"/>
        </w:rPr>
        <w:t>Klasa: 022-03/14-01/86</w:t>
      </w:r>
      <w:r w:rsidRPr="00A174A6">
        <w:rPr>
          <w:rFonts w:ascii="Calibri" w:hAnsi="Calibri" w:cs="Helvetica"/>
          <w:color w:val="000000" w:themeColor="text1"/>
          <w:sz w:val="22"/>
          <w:szCs w:val="22"/>
        </w:rPr>
        <w:br/>
      </w:r>
      <w:r w:rsidRPr="00A174A6">
        <w:rPr>
          <w:rFonts w:ascii="Calibri" w:hAnsi="Calibri" w:cs="Helvetica"/>
          <w:color w:val="000000" w:themeColor="text1"/>
          <w:sz w:val="22"/>
          <w:szCs w:val="22"/>
        </w:rPr>
        <w:br/>
        <w:t>Zagreb, 15. srpnja 2014.</w:t>
      </w:r>
    </w:p>
    <w:p w:rsidR="00A174A6" w:rsidRPr="00A174A6" w:rsidRDefault="00A174A6" w:rsidP="00A174A6">
      <w:pPr>
        <w:pStyle w:val="t-9-8-sredina"/>
        <w:jc w:val="center"/>
        <w:rPr>
          <w:rFonts w:ascii="Calibri" w:hAnsi="Calibri" w:cs="Helvetica"/>
          <w:color w:val="000000" w:themeColor="text1"/>
          <w:sz w:val="22"/>
          <w:szCs w:val="22"/>
        </w:rPr>
      </w:pPr>
      <w:r w:rsidRPr="00A174A6">
        <w:rPr>
          <w:rFonts w:ascii="Calibri" w:hAnsi="Calibri" w:cs="Helvetica"/>
          <w:color w:val="000000" w:themeColor="text1"/>
          <w:sz w:val="22"/>
          <w:szCs w:val="22"/>
        </w:rPr>
        <w:t>HRVATSKI SABOR</w:t>
      </w:r>
    </w:p>
    <w:p w:rsidR="00A174A6" w:rsidRPr="00A174A6" w:rsidRDefault="00A174A6" w:rsidP="00A174A6">
      <w:pPr>
        <w:pStyle w:val="t-9-8-potpis"/>
        <w:jc w:val="right"/>
        <w:rPr>
          <w:rFonts w:ascii="Calibri" w:hAnsi="Calibri" w:cs="Helvetica"/>
          <w:color w:val="000000" w:themeColor="text1"/>
          <w:sz w:val="22"/>
          <w:szCs w:val="22"/>
        </w:rPr>
      </w:pPr>
      <w:r w:rsidRPr="00A174A6">
        <w:rPr>
          <w:rFonts w:ascii="Calibri" w:hAnsi="Calibri" w:cs="Helvetica"/>
          <w:color w:val="000000" w:themeColor="text1"/>
          <w:sz w:val="22"/>
          <w:szCs w:val="22"/>
        </w:rPr>
        <w:t>Pr</w:t>
      </w:r>
      <w:bookmarkStart w:id="0" w:name="_GoBack"/>
      <w:bookmarkEnd w:id="0"/>
      <w:r w:rsidRPr="00A174A6">
        <w:rPr>
          <w:rFonts w:ascii="Calibri" w:hAnsi="Calibri" w:cs="Helvetica"/>
          <w:color w:val="000000" w:themeColor="text1"/>
          <w:sz w:val="22"/>
          <w:szCs w:val="22"/>
        </w:rPr>
        <w:t>edsjednik</w:t>
      </w:r>
      <w:r w:rsidRPr="00A174A6">
        <w:rPr>
          <w:rFonts w:ascii="Calibri" w:hAnsi="Calibri" w:cs="Helvetica"/>
          <w:color w:val="000000" w:themeColor="text1"/>
          <w:sz w:val="22"/>
          <w:szCs w:val="22"/>
        </w:rPr>
        <w:br/>
      </w:r>
      <w:r w:rsidRPr="00A174A6">
        <w:rPr>
          <w:rFonts w:ascii="Calibri" w:hAnsi="Calibri" w:cs="Helvetica"/>
          <w:color w:val="000000" w:themeColor="text1"/>
          <w:sz w:val="22"/>
          <w:szCs w:val="22"/>
        </w:rPr>
        <w:br/>
        <w:t>Hrvatskoga sabora</w:t>
      </w:r>
      <w:r w:rsidRPr="00A174A6">
        <w:rPr>
          <w:rFonts w:ascii="Calibri" w:hAnsi="Calibri" w:cs="Helvetica"/>
          <w:color w:val="000000" w:themeColor="text1"/>
          <w:sz w:val="22"/>
          <w:szCs w:val="22"/>
        </w:rPr>
        <w:br/>
      </w:r>
      <w:r w:rsidRPr="00A174A6">
        <w:rPr>
          <w:rFonts w:ascii="Calibri" w:hAnsi="Calibri" w:cs="Helvetica"/>
          <w:color w:val="000000" w:themeColor="text1"/>
          <w:sz w:val="22"/>
          <w:szCs w:val="22"/>
        </w:rPr>
        <w:br/>
      </w:r>
      <w:r w:rsidRPr="00A174A6">
        <w:rPr>
          <w:rStyle w:val="bold"/>
          <w:rFonts w:ascii="Calibri" w:hAnsi="Calibri" w:cs="Helvetica"/>
          <w:color w:val="000000" w:themeColor="text1"/>
          <w:sz w:val="22"/>
          <w:szCs w:val="22"/>
        </w:rPr>
        <w:t>Josip Leko,</w:t>
      </w:r>
      <w:r w:rsidRPr="00A174A6">
        <w:rPr>
          <w:rFonts w:ascii="Calibri" w:hAnsi="Calibri" w:cs="Helvetica"/>
          <w:color w:val="000000" w:themeColor="text1"/>
          <w:sz w:val="22"/>
          <w:szCs w:val="22"/>
        </w:rPr>
        <w:t xml:space="preserve"> v. r.</w:t>
      </w:r>
    </w:p>
    <w:p w:rsidR="00A174A6" w:rsidRPr="00A174A6" w:rsidRDefault="00A174A6" w:rsidP="00A174A6">
      <w:pPr>
        <w:jc w:val="both"/>
        <w:rPr>
          <w:color w:val="000000" w:themeColor="text1"/>
        </w:rPr>
      </w:pPr>
    </w:p>
    <w:sectPr w:rsidR="00A174A6" w:rsidRPr="00A174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A6"/>
    <w:rsid w:val="00A174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20EB"/>
  <w15:chartTrackingRefBased/>
  <w15:docId w15:val="{0F9A3BF1-1A2B-4131-BF6E-55280E7E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A174A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A174A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174A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A174A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A174A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A174A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A174A6"/>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A174A6"/>
  </w:style>
  <w:style w:type="paragraph" w:customStyle="1" w:styleId="clanak-">
    <w:name w:val="clanak-"/>
    <w:basedOn w:val="Normal"/>
    <w:rsid w:val="00A174A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A174A6"/>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A174A6"/>
    <w:pPr>
      <w:spacing w:before="100" w:beforeAutospacing="1"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24332">
      <w:bodyDiv w:val="1"/>
      <w:marLeft w:val="0"/>
      <w:marRight w:val="0"/>
      <w:marTop w:val="0"/>
      <w:marBottom w:val="0"/>
      <w:divBdr>
        <w:top w:val="none" w:sz="0" w:space="0" w:color="auto"/>
        <w:left w:val="none" w:sz="0" w:space="0" w:color="auto"/>
        <w:bottom w:val="none" w:sz="0" w:space="0" w:color="auto"/>
        <w:right w:val="none" w:sz="0" w:space="0" w:color="auto"/>
      </w:divBdr>
      <w:divsChild>
        <w:div w:id="1943101987">
          <w:marLeft w:val="0"/>
          <w:marRight w:val="0"/>
          <w:marTop w:val="0"/>
          <w:marBottom w:val="0"/>
          <w:divBdr>
            <w:top w:val="none" w:sz="0" w:space="0" w:color="auto"/>
            <w:left w:val="none" w:sz="0" w:space="0" w:color="auto"/>
            <w:bottom w:val="none" w:sz="0" w:space="0" w:color="auto"/>
            <w:right w:val="none" w:sz="0" w:space="0" w:color="auto"/>
          </w:divBdr>
          <w:divsChild>
            <w:div w:id="665861017">
              <w:marLeft w:val="0"/>
              <w:marRight w:val="0"/>
              <w:marTop w:val="0"/>
              <w:marBottom w:val="0"/>
              <w:divBdr>
                <w:top w:val="none" w:sz="0" w:space="0" w:color="auto"/>
                <w:left w:val="none" w:sz="0" w:space="0" w:color="auto"/>
                <w:bottom w:val="none" w:sz="0" w:space="0" w:color="auto"/>
                <w:right w:val="none" w:sz="0" w:space="0" w:color="auto"/>
              </w:divBdr>
              <w:divsChild>
                <w:div w:id="1767726781">
                  <w:marLeft w:val="0"/>
                  <w:marRight w:val="0"/>
                  <w:marTop w:val="0"/>
                  <w:marBottom w:val="0"/>
                  <w:divBdr>
                    <w:top w:val="none" w:sz="0" w:space="0" w:color="auto"/>
                    <w:left w:val="none" w:sz="0" w:space="0" w:color="auto"/>
                    <w:bottom w:val="none" w:sz="0" w:space="0" w:color="auto"/>
                    <w:right w:val="none" w:sz="0" w:space="0" w:color="auto"/>
                  </w:divBdr>
                  <w:divsChild>
                    <w:div w:id="753018909">
                      <w:marLeft w:val="0"/>
                      <w:marRight w:val="0"/>
                      <w:marTop w:val="0"/>
                      <w:marBottom w:val="0"/>
                      <w:divBdr>
                        <w:top w:val="single" w:sz="6" w:space="0" w:color="E4E4E6"/>
                        <w:left w:val="none" w:sz="0" w:space="0" w:color="auto"/>
                        <w:bottom w:val="none" w:sz="0" w:space="0" w:color="auto"/>
                        <w:right w:val="none" w:sz="0" w:space="0" w:color="auto"/>
                      </w:divBdr>
                      <w:divsChild>
                        <w:div w:id="2025283809">
                          <w:marLeft w:val="0"/>
                          <w:marRight w:val="0"/>
                          <w:marTop w:val="0"/>
                          <w:marBottom w:val="0"/>
                          <w:divBdr>
                            <w:top w:val="single" w:sz="6" w:space="0" w:color="E4E4E6"/>
                            <w:left w:val="none" w:sz="0" w:space="0" w:color="auto"/>
                            <w:bottom w:val="none" w:sz="0" w:space="0" w:color="auto"/>
                            <w:right w:val="none" w:sz="0" w:space="0" w:color="auto"/>
                          </w:divBdr>
                          <w:divsChild>
                            <w:div w:id="1007443364">
                              <w:marLeft w:val="0"/>
                              <w:marRight w:val="1500"/>
                              <w:marTop w:val="100"/>
                              <w:marBottom w:val="100"/>
                              <w:divBdr>
                                <w:top w:val="none" w:sz="0" w:space="0" w:color="auto"/>
                                <w:left w:val="none" w:sz="0" w:space="0" w:color="auto"/>
                                <w:bottom w:val="none" w:sz="0" w:space="0" w:color="auto"/>
                                <w:right w:val="none" w:sz="0" w:space="0" w:color="auto"/>
                              </w:divBdr>
                              <w:divsChild>
                                <w:div w:id="1277440869">
                                  <w:marLeft w:val="0"/>
                                  <w:marRight w:val="0"/>
                                  <w:marTop w:val="300"/>
                                  <w:marBottom w:val="450"/>
                                  <w:divBdr>
                                    <w:top w:val="none" w:sz="0" w:space="0" w:color="auto"/>
                                    <w:left w:val="none" w:sz="0" w:space="0" w:color="auto"/>
                                    <w:bottom w:val="none" w:sz="0" w:space="0" w:color="auto"/>
                                    <w:right w:val="none" w:sz="0" w:space="0" w:color="auto"/>
                                  </w:divBdr>
                                  <w:divsChild>
                                    <w:div w:id="433477833">
                                      <w:marLeft w:val="0"/>
                                      <w:marRight w:val="0"/>
                                      <w:marTop w:val="0"/>
                                      <w:marBottom w:val="0"/>
                                      <w:divBdr>
                                        <w:top w:val="none" w:sz="0" w:space="0" w:color="auto"/>
                                        <w:left w:val="none" w:sz="0" w:space="0" w:color="auto"/>
                                        <w:bottom w:val="none" w:sz="0" w:space="0" w:color="auto"/>
                                        <w:right w:val="none" w:sz="0" w:space="0" w:color="auto"/>
                                      </w:divBdr>
                                      <w:divsChild>
                                        <w:div w:id="574825685">
                                          <w:marLeft w:val="0"/>
                                          <w:marRight w:val="0"/>
                                          <w:marTop w:val="0"/>
                                          <w:marBottom w:val="0"/>
                                          <w:divBdr>
                                            <w:top w:val="none" w:sz="0" w:space="0" w:color="auto"/>
                                            <w:left w:val="none" w:sz="0" w:space="0" w:color="auto"/>
                                            <w:bottom w:val="none" w:sz="0" w:space="0" w:color="auto"/>
                                            <w:right w:val="none" w:sz="0" w:space="0" w:color="auto"/>
                                          </w:divBdr>
                                          <w:divsChild>
                                            <w:div w:id="1948272719">
                                              <w:marLeft w:val="0"/>
                                              <w:marRight w:val="0"/>
                                              <w:marTop w:val="0"/>
                                              <w:marBottom w:val="0"/>
                                              <w:divBdr>
                                                <w:top w:val="none" w:sz="0" w:space="0" w:color="auto"/>
                                                <w:left w:val="none" w:sz="0" w:space="0" w:color="auto"/>
                                                <w:bottom w:val="none" w:sz="0" w:space="0" w:color="auto"/>
                                                <w:right w:val="none" w:sz="0" w:space="0" w:color="auto"/>
                                              </w:divBdr>
                                              <w:divsChild>
                                                <w:div w:id="9557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bbajic</dc:creator>
  <cp:keywords/>
  <dc:description/>
  <cp:lastModifiedBy>bbajic</cp:lastModifiedBy>
  <cp:revision>1</cp:revision>
  <dcterms:created xsi:type="dcterms:W3CDTF">2017-11-16T12:52:00Z</dcterms:created>
  <dcterms:modified xsi:type="dcterms:W3CDTF">2017-11-16T13:00:00Z</dcterms:modified>
</cp:coreProperties>
</file>